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实践教学大纲</w:t>
      </w:r>
      <w:r>
        <w:rPr>
          <w:rFonts w:hint="eastAsia"/>
          <w:b/>
          <w:sz w:val="32"/>
          <w:szCs w:val="32"/>
        </w:rPr>
        <w:t>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rFonts w:hint="eastAsia"/>
          <w:b/>
          <w:sz w:val="28"/>
          <w:szCs w:val="28"/>
          <w:lang w:eastAsia="zh-CN"/>
        </w:rPr>
        <w:t>人文</w:t>
      </w:r>
      <w:r>
        <w:rPr>
          <w:rFonts w:hint="eastAsia"/>
          <w:b/>
          <w:sz w:val="28"/>
          <w:szCs w:val="28"/>
        </w:rPr>
        <w:t xml:space="preserve">                  专业</w:t>
      </w:r>
      <w:r>
        <w:rPr>
          <w:rFonts w:hint="eastAsia"/>
          <w:b/>
          <w:sz w:val="28"/>
          <w:szCs w:val="28"/>
          <w:lang w:eastAsia="zh-CN"/>
        </w:rPr>
        <w:t>：创意中文</w:t>
      </w:r>
    </w:p>
    <w:tbl>
      <w:tblPr>
        <w:tblStyle w:val="4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该专业从2015年开始招生。</w:t>
            </w:r>
          </w:p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人才培养方案共设置了八门实践教学课程，经查，八门课程均有教学大纲文本，学时、学分要求与培养方案相一致。</w:t>
            </w:r>
          </w:p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部分课程跨学期开设，教学大纲亦按不同学期编制，如《新闻传播综合实训》（一）（二），《公文综合实训》（一）（二），等。有的课程分三个学期开设，大纲文本只有一个，但对各学期的内容、要求与时间分配做了具体规定，如《文化产业综合实训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大纲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汇总表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有填写，并符合规范要求。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能按学校的统一模板进行文本编制，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  <w:t>但部分大纲的内容偏于简略，行文尚欠严谨。格式方面，有的在序号的使用上出现瑕疵，有的字体、字号、行距不合规范要求，因而结集后显得比较粗糙，前后很不一致。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培养标准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达成的支持细化至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《新闻传媒综合实训》、《文化产业综合实训》、《广告文案综合实训》和《公文综合实训》四份大纲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  <w:t>，对三级指标内涵的把握不够到位，填写的内容与人才培养方案对应度不强（未标出对应符号），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其它四门由汉语言文学专业借用而来，总体尚可。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总体评价</w:t>
            </w:r>
          </w:p>
          <w:p>
            <w:pPr>
              <w:numPr>
                <w:ilvl w:val="0"/>
                <w:numId w:val="1"/>
              </w:numP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比较粗糙；</w:t>
            </w:r>
          </w:p>
          <w:p>
            <w:pPr>
              <w:numPr>
                <w:ilvl w:val="0"/>
                <w:numId w:val="1"/>
              </w:num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部分大纲与汉语言文学（师范）专业重合较多，体现本专业的特点与要求不够，进而直接影响到专业特色的形成。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Times New Roman"/>
    <w:panose1 w:val="00000000000000000000"/>
    <w:charset w:val="5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E675F"/>
    <w:multiLevelType w:val="singleLevel"/>
    <w:tmpl w:val="576E675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8D"/>
    <w:rsid w:val="000723E5"/>
    <w:rsid w:val="000D329C"/>
    <w:rsid w:val="000F6395"/>
    <w:rsid w:val="00101DDD"/>
    <w:rsid w:val="00143646"/>
    <w:rsid w:val="00174B2F"/>
    <w:rsid w:val="001E3A01"/>
    <w:rsid w:val="001F4739"/>
    <w:rsid w:val="00332F58"/>
    <w:rsid w:val="00360BB5"/>
    <w:rsid w:val="003A60C1"/>
    <w:rsid w:val="004B7CD1"/>
    <w:rsid w:val="004F1D10"/>
    <w:rsid w:val="00524DF3"/>
    <w:rsid w:val="006362DE"/>
    <w:rsid w:val="00677E44"/>
    <w:rsid w:val="007B0AC2"/>
    <w:rsid w:val="00950422"/>
    <w:rsid w:val="009712D4"/>
    <w:rsid w:val="00A00BF0"/>
    <w:rsid w:val="00AC65AA"/>
    <w:rsid w:val="00B14C82"/>
    <w:rsid w:val="00BD7305"/>
    <w:rsid w:val="00C02394"/>
    <w:rsid w:val="00C22212"/>
    <w:rsid w:val="00D613D6"/>
    <w:rsid w:val="00DE7911"/>
    <w:rsid w:val="00E36231"/>
    <w:rsid w:val="00EB7632"/>
    <w:rsid w:val="00ED5D8D"/>
    <w:rsid w:val="00FC0F6B"/>
    <w:rsid w:val="08775A0B"/>
    <w:rsid w:val="0BC7521B"/>
    <w:rsid w:val="0E491FEA"/>
    <w:rsid w:val="18096817"/>
    <w:rsid w:val="1ED910C3"/>
    <w:rsid w:val="1FDE7AAA"/>
    <w:rsid w:val="21465D45"/>
    <w:rsid w:val="2AD10052"/>
    <w:rsid w:val="31711A4F"/>
    <w:rsid w:val="3B4F611C"/>
    <w:rsid w:val="4A256454"/>
    <w:rsid w:val="53CA3EB3"/>
    <w:rsid w:val="5C1769D3"/>
    <w:rsid w:val="6433348C"/>
    <w:rsid w:val="72035C89"/>
    <w:rsid w:val="788374E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263</Words>
  <Characters>1503</Characters>
  <Lines>12</Lines>
  <Paragraphs>3</Paragraphs>
  <ScaleCrop>false</ScaleCrop>
  <LinksUpToDate>false</LinksUpToDate>
  <CharactersWithSpaces>1763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2016-07-07T09:37:21Z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